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7B" w:rsidRPr="0008744D" w:rsidRDefault="00E4537B" w:rsidP="00E453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Useful R</w:t>
      </w:r>
      <w:r w:rsidRPr="0008744D">
        <w:rPr>
          <w:rFonts w:ascii="Arial" w:hAnsi="Arial" w:cs="Arial"/>
          <w:b/>
          <w:sz w:val="24"/>
          <w:szCs w:val="24"/>
          <w:u w:val="single"/>
        </w:rPr>
        <w:t>esources</w:t>
      </w:r>
      <w:r>
        <w:rPr>
          <w:rFonts w:ascii="Arial" w:hAnsi="Arial" w:cs="Arial"/>
          <w:b/>
          <w:sz w:val="24"/>
          <w:szCs w:val="24"/>
          <w:u w:val="single"/>
        </w:rPr>
        <w:t xml:space="preserve"> for Pupils with M</w:t>
      </w:r>
      <w:r w:rsidRPr="0008744D">
        <w:rPr>
          <w:rFonts w:ascii="Arial" w:hAnsi="Arial" w:cs="Arial"/>
          <w:b/>
          <w:sz w:val="24"/>
          <w:szCs w:val="24"/>
          <w:u w:val="single"/>
        </w:rPr>
        <w:t>otor</w:t>
      </w:r>
      <w:r>
        <w:rPr>
          <w:rFonts w:ascii="Arial" w:hAnsi="Arial" w:cs="Arial"/>
          <w:b/>
          <w:sz w:val="24"/>
          <w:szCs w:val="24"/>
          <w:u w:val="single"/>
        </w:rPr>
        <w:t>, Sensory</w:t>
      </w:r>
      <w:r w:rsidRPr="0008744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and/or Attention and Learning D</w:t>
      </w:r>
      <w:r w:rsidRPr="0008744D">
        <w:rPr>
          <w:rFonts w:ascii="Arial" w:hAnsi="Arial" w:cs="Arial"/>
          <w:b/>
          <w:sz w:val="24"/>
          <w:szCs w:val="24"/>
          <w:u w:val="single"/>
        </w:rPr>
        <w:t>ifficulties</w:t>
      </w:r>
    </w:p>
    <w:p w:rsidR="00E4537B" w:rsidRPr="00660E6E" w:rsidRDefault="00E4537B" w:rsidP="00E4537B">
      <w:pPr>
        <w:rPr>
          <w:rFonts w:ascii="Arial" w:hAnsi="Arial" w:cs="Arial"/>
          <w:sz w:val="24"/>
          <w:szCs w:val="24"/>
        </w:rPr>
      </w:pPr>
      <w:r w:rsidRPr="00660E6E">
        <w:rPr>
          <w:rFonts w:ascii="Arial" w:hAnsi="Arial" w:cs="Arial"/>
          <w:sz w:val="24"/>
          <w:szCs w:val="24"/>
        </w:rPr>
        <w:t xml:space="preserve">Having a toolbox of resources will aid the ability to support children with attention and learning if they have difficulties in </w:t>
      </w:r>
      <w:r>
        <w:rPr>
          <w:rFonts w:ascii="Arial" w:hAnsi="Arial" w:cs="Arial"/>
          <w:sz w:val="24"/>
          <w:szCs w:val="24"/>
        </w:rPr>
        <w:t>this area. T</w:t>
      </w:r>
      <w:r w:rsidRPr="00660E6E">
        <w:rPr>
          <w:rFonts w:ascii="Arial" w:hAnsi="Arial" w:cs="Arial"/>
          <w:sz w:val="24"/>
          <w:szCs w:val="24"/>
        </w:rPr>
        <w:t>his does not have to be an expensive resource</w:t>
      </w:r>
      <w:r>
        <w:rPr>
          <w:rFonts w:ascii="Arial" w:hAnsi="Arial" w:cs="Arial"/>
          <w:sz w:val="24"/>
          <w:szCs w:val="24"/>
        </w:rPr>
        <w:t>.</w:t>
      </w:r>
    </w:p>
    <w:p w:rsidR="00E4537B" w:rsidRPr="00660E6E" w:rsidRDefault="00E4537B" w:rsidP="00E4537B">
      <w:pPr>
        <w:rPr>
          <w:rFonts w:ascii="Arial" w:hAnsi="Arial" w:cs="Arial"/>
          <w:sz w:val="24"/>
          <w:szCs w:val="24"/>
        </w:rPr>
      </w:pPr>
      <w:r w:rsidRPr="00660E6E">
        <w:rPr>
          <w:rFonts w:ascii="Arial" w:hAnsi="Arial" w:cs="Arial"/>
          <w:sz w:val="24"/>
          <w:szCs w:val="24"/>
        </w:rPr>
        <w:t>A sensory box can help support children who are under or over aroused and objects can be used while a child is listening, watching and learning</w:t>
      </w:r>
      <w:r>
        <w:rPr>
          <w:rFonts w:ascii="Arial" w:hAnsi="Arial" w:cs="Arial"/>
          <w:sz w:val="24"/>
          <w:szCs w:val="24"/>
        </w:rPr>
        <w:t xml:space="preserve">. More information can also be found it Sensory on a Shoestring at </w:t>
      </w:r>
      <w:hyperlink r:id="rId7" w:history="1">
        <w:r w:rsidRPr="00F7582E">
          <w:rPr>
            <w:rStyle w:val="Hyperlink"/>
            <w:rFonts w:ascii="Arial" w:hAnsi="Arial" w:cs="Arial"/>
            <w:sz w:val="24"/>
            <w:szCs w:val="24"/>
          </w:rPr>
          <w:t>www.multisensorylearning.lgfl.net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E4537B" w:rsidRPr="00EB6808" w:rsidRDefault="00E4537B" w:rsidP="00E4537B">
      <w:pPr>
        <w:rPr>
          <w:rFonts w:ascii="Arial" w:hAnsi="Arial" w:cs="Arial"/>
          <w:b/>
          <w:sz w:val="24"/>
          <w:szCs w:val="24"/>
        </w:rPr>
      </w:pPr>
      <w:r w:rsidRPr="00EB6808">
        <w:rPr>
          <w:rFonts w:ascii="Arial" w:hAnsi="Arial" w:cs="Arial"/>
          <w:b/>
          <w:sz w:val="24"/>
          <w:szCs w:val="24"/>
        </w:rPr>
        <w:t>Useful Resources</w:t>
      </w:r>
    </w:p>
    <w:p w:rsidR="00E4537B" w:rsidRPr="00660E6E" w:rsidRDefault="00E4537B" w:rsidP="00E4537B">
      <w:pPr>
        <w:pStyle w:val="ListParagraph"/>
        <w:numPr>
          <w:ilvl w:val="0"/>
          <w:numId w:val="16"/>
        </w:numPr>
        <w:suppressAutoHyphens/>
        <w:autoSpaceDN w:val="0"/>
        <w:spacing w:line="254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660E6E">
        <w:rPr>
          <w:rFonts w:ascii="Arial" w:hAnsi="Arial" w:cs="Arial"/>
          <w:sz w:val="24"/>
          <w:szCs w:val="24"/>
        </w:rPr>
        <w:t>Spiky physio balls</w:t>
      </w:r>
    </w:p>
    <w:p w:rsidR="00E4537B" w:rsidRPr="00660E6E" w:rsidRDefault="00E4537B" w:rsidP="00E4537B">
      <w:pPr>
        <w:pStyle w:val="ListParagraph"/>
        <w:numPr>
          <w:ilvl w:val="0"/>
          <w:numId w:val="16"/>
        </w:numPr>
        <w:suppressAutoHyphens/>
        <w:autoSpaceDN w:val="0"/>
        <w:spacing w:line="254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660E6E">
        <w:rPr>
          <w:rFonts w:ascii="Arial" w:hAnsi="Arial" w:cs="Arial"/>
          <w:sz w:val="24"/>
          <w:szCs w:val="24"/>
        </w:rPr>
        <w:t>Squeezy</w:t>
      </w:r>
      <w:proofErr w:type="spellEnd"/>
      <w:r w:rsidRPr="00660E6E">
        <w:rPr>
          <w:rFonts w:ascii="Arial" w:hAnsi="Arial" w:cs="Arial"/>
          <w:sz w:val="24"/>
          <w:szCs w:val="24"/>
        </w:rPr>
        <w:t xml:space="preserve"> toys</w:t>
      </w:r>
    </w:p>
    <w:p w:rsidR="00E4537B" w:rsidRPr="00660E6E" w:rsidRDefault="00E4537B" w:rsidP="00E4537B">
      <w:pPr>
        <w:pStyle w:val="ListParagraph"/>
        <w:numPr>
          <w:ilvl w:val="0"/>
          <w:numId w:val="16"/>
        </w:numPr>
        <w:suppressAutoHyphens/>
        <w:autoSpaceDN w:val="0"/>
        <w:spacing w:line="254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660E6E">
        <w:rPr>
          <w:rFonts w:ascii="Arial" w:hAnsi="Arial" w:cs="Arial"/>
          <w:sz w:val="24"/>
          <w:szCs w:val="24"/>
        </w:rPr>
        <w:t xml:space="preserve">Tactile toys </w:t>
      </w:r>
    </w:p>
    <w:p w:rsidR="00E4537B" w:rsidRPr="00660E6E" w:rsidRDefault="00E4537B" w:rsidP="00E4537B">
      <w:pPr>
        <w:pStyle w:val="ListParagraph"/>
        <w:numPr>
          <w:ilvl w:val="0"/>
          <w:numId w:val="16"/>
        </w:numPr>
        <w:suppressAutoHyphens/>
        <w:autoSpaceDN w:val="0"/>
        <w:spacing w:line="254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660E6E">
        <w:rPr>
          <w:rFonts w:ascii="Arial" w:hAnsi="Arial" w:cs="Arial"/>
          <w:sz w:val="24"/>
          <w:szCs w:val="24"/>
        </w:rPr>
        <w:t>Massager</w:t>
      </w:r>
    </w:p>
    <w:p w:rsidR="00E4537B" w:rsidRPr="00660E6E" w:rsidRDefault="00E4537B" w:rsidP="00E4537B">
      <w:pPr>
        <w:pStyle w:val="ListParagraph"/>
        <w:numPr>
          <w:ilvl w:val="0"/>
          <w:numId w:val="16"/>
        </w:numPr>
        <w:suppressAutoHyphens/>
        <w:autoSpaceDN w:val="0"/>
        <w:spacing w:line="254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660E6E">
        <w:rPr>
          <w:rFonts w:ascii="Arial" w:hAnsi="Arial" w:cs="Arial"/>
          <w:sz w:val="24"/>
          <w:szCs w:val="24"/>
        </w:rPr>
        <w:t>Toys that will provide visual stimulus – spinners etc.</w:t>
      </w:r>
    </w:p>
    <w:p w:rsidR="00E4537B" w:rsidRPr="00660E6E" w:rsidRDefault="00E4537B" w:rsidP="00E4537B">
      <w:pPr>
        <w:pStyle w:val="ListParagraph"/>
        <w:numPr>
          <w:ilvl w:val="0"/>
          <w:numId w:val="16"/>
        </w:numPr>
        <w:suppressAutoHyphens/>
        <w:autoSpaceDN w:val="0"/>
        <w:spacing w:line="254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660E6E">
        <w:rPr>
          <w:rFonts w:ascii="Arial" w:hAnsi="Arial" w:cs="Arial"/>
          <w:sz w:val="24"/>
          <w:szCs w:val="24"/>
        </w:rPr>
        <w:t>Tangles</w:t>
      </w:r>
    </w:p>
    <w:p w:rsidR="00E4537B" w:rsidRPr="00660E6E" w:rsidRDefault="00E4537B" w:rsidP="00E4537B">
      <w:pPr>
        <w:pStyle w:val="ListParagraph"/>
        <w:numPr>
          <w:ilvl w:val="0"/>
          <w:numId w:val="16"/>
        </w:numPr>
        <w:suppressAutoHyphens/>
        <w:autoSpaceDN w:val="0"/>
        <w:spacing w:line="254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660E6E">
        <w:rPr>
          <w:rFonts w:ascii="Arial" w:hAnsi="Arial" w:cs="Arial"/>
          <w:sz w:val="24"/>
          <w:szCs w:val="24"/>
        </w:rPr>
        <w:t xml:space="preserve">Elastic shoe laces </w:t>
      </w:r>
    </w:p>
    <w:p w:rsidR="00E4537B" w:rsidRPr="00660E6E" w:rsidRDefault="00E4537B" w:rsidP="00E4537B">
      <w:pPr>
        <w:pStyle w:val="ListParagraph"/>
        <w:numPr>
          <w:ilvl w:val="0"/>
          <w:numId w:val="16"/>
        </w:numPr>
        <w:suppressAutoHyphens/>
        <w:autoSpaceDN w:val="0"/>
        <w:spacing w:line="254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660E6E">
        <w:rPr>
          <w:rFonts w:ascii="Arial" w:hAnsi="Arial" w:cs="Arial"/>
          <w:sz w:val="24"/>
          <w:szCs w:val="24"/>
        </w:rPr>
        <w:t>Dough or putty to be used under supervision</w:t>
      </w:r>
    </w:p>
    <w:p w:rsidR="00E4537B" w:rsidRPr="00660E6E" w:rsidRDefault="00E4537B" w:rsidP="00E4537B">
      <w:pPr>
        <w:pStyle w:val="ListParagraph"/>
        <w:numPr>
          <w:ilvl w:val="0"/>
          <w:numId w:val="16"/>
        </w:numPr>
        <w:suppressAutoHyphens/>
        <w:autoSpaceDN w:val="0"/>
        <w:spacing w:line="254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660E6E">
        <w:rPr>
          <w:rFonts w:ascii="Arial" w:hAnsi="Arial" w:cs="Arial"/>
          <w:sz w:val="24"/>
          <w:szCs w:val="24"/>
        </w:rPr>
        <w:t>Beads</w:t>
      </w:r>
    </w:p>
    <w:p w:rsidR="00E4537B" w:rsidRPr="00660E6E" w:rsidRDefault="00E4537B" w:rsidP="00E4537B">
      <w:pPr>
        <w:pStyle w:val="ListParagraph"/>
        <w:numPr>
          <w:ilvl w:val="0"/>
          <w:numId w:val="16"/>
        </w:numPr>
        <w:suppressAutoHyphens/>
        <w:autoSpaceDN w:val="0"/>
        <w:spacing w:line="254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660E6E">
        <w:rPr>
          <w:rFonts w:ascii="Arial" w:hAnsi="Arial" w:cs="Arial"/>
          <w:sz w:val="24"/>
          <w:szCs w:val="24"/>
        </w:rPr>
        <w:t>Wobble cushions</w:t>
      </w:r>
    </w:p>
    <w:p w:rsidR="00E4537B" w:rsidRPr="00660E6E" w:rsidRDefault="00E4537B" w:rsidP="00E4537B">
      <w:pPr>
        <w:pStyle w:val="ListParagraph"/>
        <w:numPr>
          <w:ilvl w:val="0"/>
          <w:numId w:val="16"/>
        </w:numPr>
        <w:suppressAutoHyphens/>
        <w:autoSpaceDN w:val="0"/>
        <w:spacing w:line="254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60E6E">
        <w:rPr>
          <w:rFonts w:ascii="Arial" w:hAnsi="Arial" w:cs="Arial"/>
          <w:sz w:val="24"/>
          <w:szCs w:val="24"/>
        </w:rPr>
        <w:t>ponges</w:t>
      </w:r>
    </w:p>
    <w:p w:rsidR="00E4537B" w:rsidRPr="00EB6808" w:rsidRDefault="00E4537B" w:rsidP="00E4537B">
      <w:pPr>
        <w:rPr>
          <w:rFonts w:ascii="Arial" w:hAnsi="Arial" w:cs="Arial"/>
          <w:b/>
          <w:sz w:val="24"/>
          <w:szCs w:val="24"/>
        </w:rPr>
      </w:pPr>
      <w:r w:rsidRPr="00EB6808">
        <w:rPr>
          <w:rFonts w:ascii="Arial" w:hAnsi="Arial" w:cs="Arial"/>
          <w:b/>
          <w:sz w:val="24"/>
          <w:szCs w:val="24"/>
        </w:rPr>
        <w:t>Further Suggestions:</w:t>
      </w:r>
    </w:p>
    <w:p w:rsidR="00E4537B" w:rsidRPr="00EB6808" w:rsidRDefault="00E4537B" w:rsidP="00E4537B">
      <w:pPr>
        <w:pStyle w:val="ListParagraph"/>
        <w:numPr>
          <w:ilvl w:val="0"/>
          <w:numId w:val="17"/>
        </w:numPr>
        <w:spacing w:line="254" w:lineRule="auto"/>
        <w:rPr>
          <w:rFonts w:ascii="Arial" w:hAnsi="Arial" w:cs="Arial"/>
          <w:sz w:val="24"/>
          <w:szCs w:val="24"/>
        </w:rPr>
      </w:pPr>
      <w:r w:rsidRPr="00EB6808">
        <w:rPr>
          <w:rFonts w:ascii="Arial" w:hAnsi="Arial" w:cs="Arial"/>
          <w:sz w:val="24"/>
          <w:szCs w:val="24"/>
        </w:rPr>
        <w:t>Have safe space in the classroom. This can be a small pop up tent filled with cushions, a squashy corner or a separate room. REMEMBER this should not be used as a time out space. It is very important the space is given to enable calming down of over arousal, not to discipline a child. This would give mixed messages and confuse the child about understanding the difference between needing to calm because they overwhelmed or in trouble for misbehaviour.</w:t>
      </w:r>
    </w:p>
    <w:p w:rsidR="00E4537B" w:rsidRPr="00EB6808" w:rsidRDefault="00E4537B" w:rsidP="00E4537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6808">
        <w:rPr>
          <w:rFonts w:ascii="Arial" w:hAnsi="Arial" w:cs="Arial"/>
          <w:sz w:val="24"/>
          <w:szCs w:val="24"/>
          <w:lang w:val="en-US"/>
        </w:rPr>
        <w:t>Allow for use of fiddles if this increases attention. This can include str</w:t>
      </w:r>
      <w:r>
        <w:rPr>
          <w:rFonts w:ascii="Arial" w:hAnsi="Arial" w:cs="Arial"/>
          <w:sz w:val="24"/>
          <w:szCs w:val="24"/>
          <w:lang w:val="en-US"/>
        </w:rPr>
        <w:t>ess balls, elastic shoe laces, and more.</w:t>
      </w:r>
    </w:p>
    <w:p w:rsidR="00E4537B" w:rsidRPr="00EB6808" w:rsidRDefault="00E4537B" w:rsidP="00E4537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6808">
        <w:rPr>
          <w:rFonts w:ascii="Arial" w:hAnsi="Arial" w:cs="Arial"/>
          <w:sz w:val="24"/>
          <w:szCs w:val="24"/>
          <w:lang w:val="en-US"/>
        </w:rPr>
        <w:t xml:space="preserve">Give </w:t>
      </w:r>
      <w:r>
        <w:rPr>
          <w:rFonts w:ascii="Arial" w:hAnsi="Arial" w:cs="Arial"/>
          <w:sz w:val="24"/>
          <w:szCs w:val="24"/>
          <w:lang w:val="en-US"/>
        </w:rPr>
        <w:t xml:space="preserve">children with motor and sensory difficulties, </w:t>
      </w:r>
      <w:r w:rsidRPr="00EB6808">
        <w:rPr>
          <w:rFonts w:ascii="Arial" w:hAnsi="Arial" w:cs="Arial"/>
          <w:sz w:val="24"/>
          <w:szCs w:val="24"/>
          <w:lang w:val="en-US"/>
        </w:rPr>
        <w:t xml:space="preserve">additional classroom responsibilities that will include </w:t>
      </w:r>
      <w:r>
        <w:rPr>
          <w:rFonts w:ascii="Arial" w:hAnsi="Arial" w:cs="Arial"/>
          <w:sz w:val="24"/>
          <w:szCs w:val="24"/>
          <w:lang w:val="en-US"/>
        </w:rPr>
        <w:t xml:space="preserve">movement and carrying objects. This could include </w:t>
      </w:r>
      <w:r w:rsidRPr="00EB6808">
        <w:rPr>
          <w:rFonts w:ascii="Arial" w:hAnsi="Arial" w:cs="Arial"/>
          <w:sz w:val="24"/>
          <w:szCs w:val="24"/>
          <w:lang w:val="en-US"/>
        </w:rPr>
        <w:t xml:space="preserve">collecting books, clearing tables, </w:t>
      </w:r>
      <w:r>
        <w:rPr>
          <w:rFonts w:ascii="Arial" w:hAnsi="Arial" w:cs="Arial"/>
          <w:sz w:val="24"/>
          <w:szCs w:val="24"/>
          <w:lang w:val="en-US"/>
        </w:rPr>
        <w:t>and giving out resources. T</w:t>
      </w:r>
      <w:r w:rsidRPr="00EB6808">
        <w:rPr>
          <w:rFonts w:ascii="Arial" w:hAnsi="Arial" w:cs="Arial"/>
          <w:sz w:val="24"/>
          <w:szCs w:val="24"/>
          <w:lang w:val="en-US"/>
        </w:rPr>
        <w:t>his will not only increase sensory motor input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EB6808">
        <w:rPr>
          <w:rFonts w:ascii="Arial" w:hAnsi="Arial" w:cs="Arial"/>
          <w:sz w:val="24"/>
          <w:szCs w:val="24"/>
          <w:lang w:val="en-US"/>
        </w:rPr>
        <w:t xml:space="preserve"> but </w:t>
      </w:r>
      <w:r>
        <w:rPr>
          <w:rFonts w:ascii="Arial" w:hAnsi="Arial" w:cs="Arial"/>
          <w:sz w:val="24"/>
          <w:szCs w:val="24"/>
          <w:lang w:val="en-US"/>
        </w:rPr>
        <w:t xml:space="preserve">will </w:t>
      </w:r>
      <w:r w:rsidRPr="00EB6808">
        <w:rPr>
          <w:rFonts w:ascii="Arial" w:hAnsi="Arial" w:cs="Arial"/>
          <w:sz w:val="24"/>
          <w:szCs w:val="24"/>
          <w:lang w:val="en-US"/>
        </w:rPr>
        <w:t xml:space="preserve">give a sense of achievement which can </w:t>
      </w:r>
      <w:r>
        <w:rPr>
          <w:rFonts w:ascii="Arial" w:hAnsi="Arial" w:cs="Arial"/>
          <w:sz w:val="24"/>
          <w:szCs w:val="24"/>
          <w:lang w:val="en-US"/>
        </w:rPr>
        <w:t xml:space="preserve">only </w:t>
      </w:r>
      <w:r w:rsidRPr="00EB6808">
        <w:rPr>
          <w:rFonts w:ascii="Arial" w:hAnsi="Arial" w:cs="Arial"/>
          <w:sz w:val="24"/>
          <w:szCs w:val="24"/>
          <w:lang w:val="en-US"/>
        </w:rPr>
        <w:t xml:space="preserve">increase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EB6808">
        <w:rPr>
          <w:rFonts w:ascii="Arial" w:hAnsi="Arial" w:cs="Arial"/>
          <w:sz w:val="24"/>
          <w:szCs w:val="24"/>
          <w:lang w:val="en-US"/>
        </w:rPr>
        <w:t>motivation to engage.</w:t>
      </w:r>
    </w:p>
    <w:p w:rsidR="00E4537B" w:rsidRPr="00EB6808" w:rsidRDefault="00E4537B" w:rsidP="00E4537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6808">
        <w:rPr>
          <w:rFonts w:ascii="Arial" w:hAnsi="Arial" w:cs="Arial"/>
          <w:sz w:val="24"/>
          <w:szCs w:val="24"/>
          <w:lang w:val="en-US"/>
        </w:rPr>
        <w:t>Changes to how a task is completed can increa</w:t>
      </w:r>
      <w:r>
        <w:rPr>
          <w:rFonts w:ascii="Arial" w:hAnsi="Arial" w:cs="Arial"/>
          <w:sz w:val="24"/>
          <w:szCs w:val="24"/>
          <w:lang w:val="en-US"/>
        </w:rPr>
        <w:t>se the sensory motor input whilst completing academic tasks. See S</w:t>
      </w:r>
      <w:r w:rsidRPr="00EB6808">
        <w:rPr>
          <w:rFonts w:ascii="Arial" w:hAnsi="Arial" w:cs="Arial"/>
          <w:sz w:val="24"/>
          <w:szCs w:val="24"/>
          <w:lang w:val="en-US"/>
        </w:rPr>
        <w:t>ection 2d for help.</w:t>
      </w:r>
    </w:p>
    <w:p w:rsidR="00E4537B" w:rsidRPr="00EB6808" w:rsidRDefault="00E4537B" w:rsidP="00E4537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6808">
        <w:rPr>
          <w:rFonts w:ascii="Arial" w:hAnsi="Arial" w:cs="Arial"/>
          <w:sz w:val="24"/>
          <w:szCs w:val="24"/>
          <w:lang w:val="en-US"/>
        </w:rPr>
        <w:t>Use visuals to promote sequences and daily activity for all pupils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EB6808">
        <w:rPr>
          <w:rFonts w:ascii="Arial" w:hAnsi="Arial" w:cs="Arial"/>
          <w:sz w:val="24"/>
          <w:szCs w:val="24"/>
          <w:lang w:val="en-US"/>
        </w:rPr>
        <w:t xml:space="preserve"> this will aid those with difficulty without it being different. ‘Picture they day ahead ‘</w:t>
      </w:r>
    </w:p>
    <w:p w:rsidR="00E4537B" w:rsidRPr="00806323" w:rsidRDefault="00E4537B" w:rsidP="00E4537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6808">
        <w:rPr>
          <w:rFonts w:ascii="Arial" w:hAnsi="Arial" w:cs="Arial"/>
          <w:sz w:val="24"/>
          <w:szCs w:val="24"/>
          <w:lang w:val="en-US"/>
        </w:rPr>
        <w:lastRenderedPageBreak/>
        <w:t>Whoops card – always support the fact that unexpected event</w:t>
      </w:r>
      <w:r>
        <w:rPr>
          <w:rFonts w:ascii="Arial" w:hAnsi="Arial" w:cs="Arial"/>
          <w:sz w:val="24"/>
          <w:szCs w:val="24"/>
          <w:lang w:val="en-US"/>
        </w:rPr>
        <w:t>s may happen e.g. fire alarm. S</w:t>
      </w:r>
      <w:r w:rsidRPr="00EB6808">
        <w:rPr>
          <w:rFonts w:ascii="Arial" w:hAnsi="Arial" w:cs="Arial"/>
          <w:sz w:val="24"/>
          <w:szCs w:val="24"/>
          <w:lang w:val="en-US"/>
        </w:rPr>
        <w:t>upport this visually to help children who have difficulty with change, sensory difficulty or motor coordination difficulty</w:t>
      </w:r>
    </w:p>
    <w:p w:rsidR="00E4537B" w:rsidRPr="00806323" w:rsidRDefault="00E4537B" w:rsidP="00E4537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06323">
        <w:rPr>
          <w:rFonts w:ascii="Arial" w:hAnsi="Arial" w:cs="Arial"/>
          <w:sz w:val="24"/>
          <w:szCs w:val="24"/>
        </w:rPr>
        <w:t>Take a walk to a water fountain for a cold drink.  A little movement combined with an alerting oral sensory experience may be just enough to get kids’ focus back after sitting for a long period of time.</w:t>
      </w:r>
    </w:p>
    <w:p w:rsidR="00E4537B" w:rsidRPr="00806323" w:rsidRDefault="00E4537B" w:rsidP="00E4537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06323">
        <w:rPr>
          <w:rFonts w:ascii="Arial" w:hAnsi="Arial" w:cs="Arial"/>
          <w:sz w:val="24"/>
          <w:szCs w:val="24"/>
        </w:rPr>
        <w:t>Changing seats for learning activities</w:t>
      </w:r>
    </w:p>
    <w:p w:rsidR="00E4537B" w:rsidRPr="00806323" w:rsidRDefault="00E4537B" w:rsidP="00E4537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06323">
        <w:rPr>
          <w:rFonts w:ascii="Arial" w:hAnsi="Arial" w:cs="Arial"/>
          <w:sz w:val="24"/>
          <w:szCs w:val="24"/>
        </w:rPr>
        <w:t>Clearing up after learning activities</w:t>
      </w:r>
    </w:p>
    <w:p w:rsidR="00E4537B" w:rsidRPr="00EB6808" w:rsidRDefault="00E4537B" w:rsidP="00E4537B">
      <w:pPr>
        <w:ind w:left="720"/>
        <w:rPr>
          <w:rFonts w:ascii="Arial" w:hAnsi="Arial" w:cs="Arial"/>
          <w:sz w:val="24"/>
          <w:szCs w:val="24"/>
        </w:rPr>
      </w:pPr>
    </w:p>
    <w:p w:rsidR="00E4537B" w:rsidRPr="00EB6808" w:rsidRDefault="00E4537B" w:rsidP="00E4537B">
      <w:pPr>
        <w:rPr>
          <w:rFonts w:ascii="Arial" w:hAnsi="Arial" w:cs="Arial"/>
          <w:sz w:val="24"/>
          <w:szCs w:val="24"/>
        </w:rPr>
      </w:pPr>
    </w:p>
    <w:p w:rsidR="00B32BC5" w:rsidRPr="00610951" w:rsidRDefault="00B32BC5" w:rsidP="00610951">
      <w:bookmarkStart w:id="0" w:name="_GoBack"/>
      <w:bookmarkEnd w:id="0"/>
    </w:p>
    <w:sectPr w:rsidR="00B32BC5" w:rsidRPr="00610951" w:rsidSect="0053435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E0" w:rsidRDefault="006B52E0" w:rsidP="00B32BC5">
      <w:pPr>
        <w:spacing w:after="0" w:line="240" w:lineRule="auto"/>
      </w:pPr>
      <w:r>
        <w:separator/>
      </w:r>
    </w:p>
  </w:endnote>
  <w:endnote w:type="continuationSeparator" w:id="0">
    <w:p w:rsidR="006B52E0" w:rsidRDefault="006B52E0" w:rsidP="00B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C5" w:rsidRDefault="00B32BC5" w:rsidP="00B32BC5">
    <w:pPr>
      <w:pStyle w:val="NormalWeb"/>
      <w:tabs>
        <w:tab w:val="center" w:pos="4513"/>
        <w:tab w:val="right" w:pos="9026"/>
      </w:tabs>
      <w:spacing w:before="0" w:beforeAutospacing="0" w:after="0" w:afterAutospacing="0"/>
      <w:rPr>
        <w:rFonts w:ascii="Calibri" w:eastAsia="Calibri" w:hAnsi="Calibri"/>
        <w:color w:val="0563C1"/>
        <w:kern w:val="24"/>
        <w:sz w:val="20"/>
        <w:szCs w:val="20"/>
        <w:u w:val="single"/>
      </w:rPr>
    </w:pPr>
  </w:p>
  <w:p w:rsidR="00B32BC5" w:rsidRPr="00B32BC5" w:rsidRDefault="006B52E0" w:rsidP="00B32BC5">
    <w:pPr>
      <w:pStyle w:val="NormalWeb"/>
      <w:tabs>
        <w:tab w:val="center" w:pos="4513"/>
        <w:tab w:val="right" w:pos="9026"/>
      </w:tabs>
      <w:spacing w:before="0" w:beforeAutospacing="0" w:after="0" w:afterAutospacing="0"/>
      <w:rPr>
        <w:sz w:val="20"/>
        <w:szCs w:val="20"/>
      </w:rPr>
    </w:pPr>
    <w:hyperlink r:id="rId1" w:history="1">
      <w:r w:rsidR="00B32BC5" w:rsidRPr="00B32BC5">
        <w:rPr>
          <w:rStyle w:val="Hyperlink"/>
          <w:rFonts w:ascii="Calibri" w:eastAsia="Calibri" w:hAnsi="Calibri"/>
          <w:color w:val="0563C1"/>
          <w:kern w:val="24"/>
          <w:sz w:val="20"/>
          <w:szCs w:val="20"/>
        </w:rPr>
        <w:t>movementforlearning.lgfl.net</w:t>
      </w:r>
    </w:hyperlink>
    <w:r w:rsidR="00B32BC5" w:rsidRPr="00B32BC5">
      <w:rPr>
        <w:rFonts w:ascii="Calibri" w:eastAsia="Calibri" w:hAnsi="Calibri"/>
        <w:color w:val="000000"/>
        <w:kern w:val="24"/>
        <w:sz w:val="20"/>
        <w:szCs w:val="20"/>
      </w:rPr>
      <w:t xml:space="preserve"> </w:t>
    </w:r>
    <w:r w:rsidR="00B32BC5">
      <w:rPr>
        <w:rFonts w:ascii="Calibri" w:eastAsia="Calibri" w:hAnsi="Calibri"/>
        <w:color w:val="000000"/>
        <w:kern w:val="24"/>
        <w:sz w:val="20"/>
        <w:szCs w:val="20"/>
      </w:rPr>
      <w:tab/>
    </w:r>
    <w:r w:rsidR="00B32BC5">
      <w:rPr>
        <w:rFonts w:ascii="Calibri" w:eastAsia="Calibri" w:hAnsi="Calibri"/>
        <w:color w:val="000000"/>
        <w:kern w:val="24"/>
        <w:sz w:val="20"/>
        <w:szCs w:val="20"/>
      </w:rPr>
      <w:tab/>
    </w:r>
    <w:r w:rsidR="00B32BC5" w:rsidRPr="00B32BC5">
      <w:rPr>
        <w:rFonts w:ascii="Calibri" w:eastAsia="Calibri" w:hAnsi="Calibri"/>
        <w:color w:val="000000"/>
        <w:kern w:val="24"/>
        <w:sz w:val="20"/>
        <w:szCs w:val="20"/>
      </w:rPr>
      <w:t>© 2018 London Grid for Learning</w:t>
    </w:r>
  </w:p>
  <w:p w:rsidR="00B32BC5" w:rsidRDefault="00B32BC5" w:rsidP="00B32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E0" w:rsidRDefault="006B52E0" w:rsidP="00B32BC5">
      <w:pPr>
        <w:spacing w:after="0" w:line="240" w:lineRule="auto"/>
      </w:pPr>
      <w:r>
        <w:separator/>
      </w:r>
    </w:p>
  </w:footnote>
  <w:footnote w:type="continuationSeparator" w:id="0">
    <w:p w:rsidR="006B52E0" w:rsidRDefault="006B52E0" w:rsidP="00B3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C5" w:rsidRDefault="00B32BC5">
    <w:pPr>
      <w:pStyle w:val="Header"/>
    </w:pPr>
  </w:p>
  <w:p w:rsidR="00B32BC5" w:rsidRDefault="00B32BC5" w:rsidP="00B32B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AAF9452" wp14:editId="7CD9ED8B">
          <wp:extent cx="1189990" cy="41832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gf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513" cy="422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970"/>
    <w:multiLevelType w:val="hybridMultilevel"/>
    <w:tmpl w:val="D8B0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797F"/>
    <w:multiLevelType w:val="multilevel"/>
    <w:tmpl w:val="9140F2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570260"/>
    <w:multiLevelType w:val="hybridMultilevel"/>
    <w:tmpl w:val="97FAC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50EE2"/>
    <w:multiLevelType w:val="hybridMultilevel"/>
    <w:tmpl w:val="4C5A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634C"/>
    <w:multiLevelType w:val="multilevel"/>
    <w:tmpl w:val="31AC15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C873673"/>
    <w:multiLevelType w:val="hybridMultilevel"/>
    <w:tmpl w:val="4648A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2F13"/>
    <w:multiLevelType w:val="hybridMultilevel"/>
    <w:tmpl w:val="7BE6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60D3"/>
    <w:multiLevelType w:val="hybridMultilevel"/>
    <w:tmpl w:val="7D9A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28CA"/>
    <w:multiLevelType w:val="hybridMultilevel"/>
    <w:tmpl w:val="6974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079E"/>
    <w:multiLevelType w:val="hybridMultilevel"/>
    <w:tmpl w:val="C51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D1990"/>
    <w:multiLevelType w:val="hybridMultilevel"/>
    <w:tmpl w:val="C49C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4EDC"/>
    <w:multiLevelType w:val="hybridMultilevel"/>
    <w:tmpl w:val="0750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E3DBD"/>
    <w:multiLevelType w:val="hybridMultilevel"/>
    <w:tmpl w:val="762C1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270D7"/>
    <w:multiLevelType w:val="hybridMultilevel"/>
    <w:tmpl w:val="4DBE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A522F"/>
    <w:multiLevelType w:val="hybridMultilevel"/>
    <w:tmpl w:val="5DAE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B731F"/>
    <w:multiLevelType w:val="hybridMultilevel"/>
    <w:tmpl w:val="8D92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133B4"/>
    <w:multiLevelType w:val="hybridMultilevel"/>
    <w:tmpl w:val="67221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15"/>
  </w:num>
  <w:num w:numId="9">
    <w:abstractNumId w:val="13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6"/>
  </w:num>
  <w:num w:numId="15">
    <w:abstractNumId w:val="9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5"/>
    <w:rsid w:val="00035AE8"/>
    <w:rsid w:val="000E4E9F"/>
    <w:rsid w:val="00184DE0"/>
    <w:rsid w:val="00232375"/>
    <w:rsid w:val="00281419"/>
    <w:rsid w:val="00453FA8"/>
    <w:rsid w:val="00511718"/>
    <w:rsid w:val="00517854"/>
    <w:rsid w:val="00534351"/>
    <w:rsid w:val="005A7868"/>
    <w:rsid w:val="00610951"/>
    <w:rsid w:val="00626E9F"/>
    <w:rsid w:val="0064762B"/>
    <w:rsid w:val="006B52E0"/>
    <w:rsid w:val="00897D02"/>
    <w:rsid w:val="008F606D"/>
    <w:rsid w:val="00910614"/>
    <w:rsid w:val="00AD6713"/>
    <w:rsid w:val="00B32BC5"/>
    <w:rsid w:val="00E4537B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2ED06"/>
  <w15:chartTrackingRefBased/>
  <w15:docId w15:val="{D299F1EE-6589-4566-B839-48C507E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C5"/>
  </w:style>
  <w:style w:type="paragraph" w:styleId="Footer">
    <w:name w:val="footer"/>
    <w:basedOn w:val="Normal"/>
    <w:link w:val="FooterChar"/>
    <w:uiPriority w:val="99"/>
    <w:unhideWhenUsed/>
    <w:rsid w:val="00B3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C5"/>
  </w:style>
  <w:style w:type="paragraph" w:styleId="NormalWeb">
    <w:name w:val="Normal (Web)"/>
    <w:basedOn w:val="Normal"/>
    <w:uiPriority w:val="99"/>
    <w:semiHidden/>
    <w:unhideWhenUsed/>
    <w:rsid w:val="00B3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2BC5"/>
    <w:rPr>
      <w:color w:val="0000FF"/>
      <w:u w:val="single"/>
    </w:rPr>
  </w:style>
  <w:style w:type="table" w:styleId="TableGrid">
    <w:name w:val="Table Grid"/>
    <w:basedOn w:val="TableNormal"/>
    <w:uiPriority w:val="39"/>
    <w:rsid w:val="00B3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3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ltisensorylearning.lgf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iliencebuilders.lgfl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Dilworth</dc:creator>
  <cp:keywords/>
  <dc:description/>
  <cp:lastModifiedBy>Jo Dilworth</cp:lastModifiedBy>
  <cp:revision>2</cp:revision>
  <dcterms:created xsi:type="dcterms:W3CDTF">2018-12-19T14:37:00Z</dcterms:created>
  <dcterms:modified xsi:type="dcterms:W3CDTF">2018-12-19T14:37:00Z</dcterms:modified>
</cp:coreProperties>
</file>